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Century Gothic" w:hAnsi="Century Gothic"/>
          <w:b/>
          <w:sz w:val="32"/>
          <w:szCs w:val="32"/>
        </w:rPr>
      </w:pPr>
      <w:r>
        <w:rPr>
          <w:rFonts w:ascii="Century Gothic" w:hAnsi="Century Gothic"/>
          <w:b/>
          <w:sz w:val="32"/>
          <w:szCs w:val="32"/>
        </w:rPr>
        <w:t>Oldfields Hall Middle School</w:t>
      </w:r>
    </w:p>
    <w:p>
      <w:pPr>
        <w:jc w:val="center"/>
        <w:rPr>
          <w:rFonts w:ascii="Century Gothic" w:hAnsi="Century Gothic"/>
          <w:b/>
          <w:sz w:val="32"/>
          <w:szCs w:val="32"/>
        </w:rPr>
      </w:pPr>
      <w:r>
        <w:rPr>
          <w:rFonts w:ascii="Century Gothic" w:hAnsi="Century Gothic"/>
          <w:b/>
          <w:sz w:val="32"/>
          <w:szCs w:val="32"/>
        </w:rPr>
        <w:t>2016-17 Year 7 ‘Catch-up’</w:t>
      </w:r>
    </w:p>
    <w:p>
      <w:pPr>
        <w:rPr>
          <w:rFonts w:ascii="Century Gothic" w:hAnsi="Century Gothic"/>
        </w:rPr>
      </w:pPr>
      <w:r>
        <w:rPr>
          <w:rFonts w:ascii="Century Gothic" w:hAnsi="Century Gothic"/>
        </w:rPr>
        <w:t xml:space="preserve">OHMS will receive an additional funding for each pupil in Year 7 who did not achieve National Standard in Reading and/or Maths at the end of KS2. </w:t>
      </w:r>
    </w:p>
    <w:p>
      <w:pPr>
        <w:pStyle w:val="ListParagraph"/>
        <w:numPr>
          <w:ilvl w:val="0"/>
          <w:numId w:val="1"/>
        </w:numPr>
        <w:rPr>
          <w:rFonts w:ascii="Century Gothic" w:hAnsi="Century Gothic"/>
        </w:rPr>
      </w:pPr>
      <w:r>
        <w:rPr>
          <w:rFonts w:ascii="Century Gothic" w:hAnsi="Century Gothic"/>
        </w:rPr>
        <w:t xml:space="preserve">In 2016, 66% of pupils nationally achieved National Standard or above in Reading. </w:t>
      </w:r>
    </w:p>
    <w:p>
      <w:pPr>
        <w:pStyle w:val="ListParagraph"/>
        <w:numPr>
          <w:ilvl w:val="0"/>
          <w:numId w:val="1"/>
        </w:numPr>
        <w:rPr>
          <w:rFonts w:ascii="Century Gothic" w:hAnsi="Century Gothic"/>
        </w:rPr>
      </w:pPr>
      <w:r>
        <w:rPr>
          <w:rFonts w:ascii="Century Gothic" w:hAnsi="Century Gothic"/>
        </w:rPr>
        <w:t xml:space="preserve">62% of the OHMS Year 7 cohort achieved National Standard or above in Reading. </w:t>
      </w:r>
    </w:p>
    <w:p>
      <w:pPr>
        <w:pStyle w:val="ListParagraph"/>
        <w:numPr>
          <w:ilvl w:val="0"/>
          <w:numId w:val="1"/>
        </w:numPr>
        <w:rPr>
          <w:rFonts w:ascii="Century Gothic" w:hAnsi="Century Gothic"/>
        </w:rPr>
      </w:pPr>
      <w:r>
        <w:rPr>
          <w:rFonts w:ascii="Century Gothic" w:hAnsi="Century Gothic"/>
        </w:rPr>
        <w:t xml:space="preserve">In 2016, 70% of pupils nationally achieved National Standard or above in Maths. </w:t>
      </w:r>
    </w:p>
    <w:p>
      <w:pPr>
        <w:pStyle w:val="ListParagraph"/>
        <w:numPr>
          <w:ilvl w:val="0"/>
          <w:numId w:val="1"/>
        </w:numPr>
        <w:rPr>
          <w:rFonts w:ascii="Century Gothic" w:hAnsi="Century Gothic"/>
        </w:rPr>
      </w:pPr>
      <w:r>
        <w:rPr>
          <w:rFonts w:ascii="Century Gothic" w:hAnsi="Century Gothic"/>
        </w:rPr>
        <w:t xml:space="preserve">68% of the OHMS Year 7 cohort achieved National Standard or above in Maths. </w:t>
      </w:r>
    </w:p>
    <w:p>
      <w:pPr>
        <w:rPr>
          <w:rFonts w:ascii="Century Gothic" w:hAnsi="Century Gothic"/>
          <w:u w:val="single"/>
        </w:rPr>
      </w:pPr>
      <w:r>
        <w:rPr>
          <w:rFonts w:ascii="Century Gothic" w:hAnsi="Century Gothic"/>
          <w:b/>
          <w:u w:val="single"/>
        </w:rPr>
        <w:t>Reading Tests</w:t>
      </w:r>
    </w:p>
    <w:p>
      <w:pPr>
        <w:pStyle w:val="ListParagraph"/>
        <w:numPr>
          <w:ilvl w:val="0"/>
          <w:numId w:val="2"/>
        </w:numPr>
        <w:rPr>
          <w:rFonts w:ascii="Century Gothic" w:hAnsi="Century Gothic"/>
        </w:rPr>
      </w:pPr>
      <w:r>
        <w:rPr>
          <w:rFonts w:ascii="Century Gothic" w:hAnsi="Century Gothic"/>
        </w:rPr>
        <w:t xml:space="preserve">All Year 7 pupils are tested on Reading. </w:t>
      </w:r>
    </w:p>
    <w:p>
      <w:pPr>
        <w:pStyle w:val="ListParagraph"/>
        <w:numPr>
          <w:ilvl w:val="0"/>
          <w:numId w:val="2"/>
        </w:numPr>
        <w:rPr>
          <w:rFonts w:ascii="Century Gothic" w:hAnsi="Century Gothic"/>
        </w:rPr>
      </w:pPr>
      <w:r>
        <w:rPr>
          <w:rFonts w:ascii="Century Gothic" w:hAnsi="Century Gothic"/>
        </w:rPr>
        <w:t xml:space="preserve">The Catch-up pupils for Reading have an average reading age of 9 years 8 months. </w:t>
      </w:r>
    </w:p>
    <w:p>
      <w:pPr>
        <w:pStyle w:val="ListParagraph"/>
        <w:numPr>
          <w:ilvl w:val="0"/>
          <w:numId w:val="2"/>
        </w:numPr>
        <w:rPr>
          <w:rFonts w:ascii="Century Gothic" w:hAnsi="Century Gothic"/>
        </w:rPr>
      </w:pPr>
      <w:r>
        <w:rPr>
          <w:rFonts w:ascii="Century Gothic" w:hAnsi="Century Gothic"/>
        </w:rPr>
        <w:t xml:space="preserve">The catch-up pupils will be tested regularly through the school year. </w:t>
      </w:r>
    </w:p>
    <w:p>
      <w:pPr>
        <w:spacing w:before="120" w:after="0"/>
        <w:rPr>
          <w:rFonts w:ascii="Century Gothic" w:hAnsi="Century Gothic"/>
          <w:b/>
          <w:u w:val="single"/>
        </w:rPr>
      </w:pPr>
      <w:r>
        <w:rPr>
          <w:rFonts w:ascii="Century Gothic" w:hAnsi="Century Gothic"/>
          <w:b/>
          <w:u w:val="single"/>
        </w:rPr>
        <w:t xml:space="preserve">Accelerated Reader: </w:t>
      </w:r>
    </w:p>
    <w:p>
      <w:pPr>
        <w:rPr>
          <w:rFonts w:ascii="Century Gothic" w:hAnsi="Century Gothic"/>
        </w:rPr>
      </w:pPr>
      <w:r>
        <w:rPr>
          <w:rFonts w:ascii="Century Gothic" w:hAnsi="Century Gothic"/>
        </w:rPr>
        <w:t xml:space="preserve">All OHMS pupils were tested on Accelerated Reader. Accelerated Reader (AR) can produce up to two years’ reading age growth in just one year. AR monitors the Reading that pupils undertake when pupils take a quiz on each book read. </w:t>
      </w:r>
    </w:p>
    <w:p>
      <w:pPr>
        <w:rPr>
          <w:rFonts w:ascii="Century Gothic" w:hAnsi="Century Gothic"/>
        </w:rPr>
      </w:pPr>
      <w:r>
        <w:rPr>
          <w:rFonts w:ascii="Century Gothic" w:hAnsi="Century Gothic"/>
        </w:rPr>
        <w:t xml:space="preserve">Pupils will be assessed on AR every half term to measure progress. </w:t>
      </w:r>
    </w:p>
    <w:p>
      <w:pPr>
        <w:rPr>
          <w:rFonts w:ascii="Century Gothic" w:hAnsi="Century Gothic"/>
        </w:rPr>
      </w:pPr>
      <w:r>
        <w:rPr>
          <w:rFonts w:ascii="Century Gothic" w:hAnsi="Century Gothic"/>
        </w:rPr>
        <w:t xml:space="preserve">Using the initial test results, group tutors can help pupils select books that are challenging, but not too difficult so as to cause frustration. Over the past year AR has helped to improve Literacy and Reading skills. </w:t>
      </w:r>
    </w:p>
    <w:p>
      <w:pPr>
        <w:rPr>
          <w:rFonts w:ascii="Century Gothic" w:hAnsi="Century Gothic"/>
        </w:rPr>
      </w:pPr>
      <w:r>
        <w:rPr>
          <w:rFonts w:ascii="Century Gothic" w:hAnsi="Century Gothic"/>
        </w:rPr>
        <w:t xml:space="preserve">Use of Accelerated Reader at OHMS has improved the focus of all staff on promoting Literacy skills and has ensured that pupils are reading widely and often. </w:t>
      </w:r>
    </w:p>
    <w:p>
      <w:pPr>
        <w:spacing w:after="0"/>
        <w:rPr>
          <w:rFonts w:ascii="Century Gothic" w:hAnsi="Century Gothic"/>
          <w:b/>
          <w:u w:val="single"/>
        </w:rPr>
      </w:pPr>
      <w:r>
        <w:rPr>
          <w:rFonts w:ascii="Century Gothic" w:hAnsi="Century Gothic"/>
          <w:b/>
          <w:u w:val="single"/>
        </w:rPr>
        <w:t>Trends</w:t>
      </w:r>
    </w:p>
    <w:p>
      <w:pPr>
        <w:rPr>
          <w:rFonts w:ascii="Century Gothic" w:hAnsi="Century Gothic"/>
        </w:rPr>
      </w:pPr>
      <w:r>
        <w:rPr>
          <w:rFonts w:ascii="Century Gothic" w:hAnsi="Century Gothic"/>
        </w:rPr>
        <w:t>Previous cohorts show a decreasing trend from 2013 to 2015 in Catch-up pupils at the beginning of Year 7:</w:t>
      </w:r>
    </w:p>
    <w:tbl>
      <w:tblPr>
        <w:tblStyle w:val="TableGrid"/>
        <w:tblW w:w="0" w:type="auto"/>
        <w:tblInd w:w="108" w:type="dxa"/>
        <w:tblLook w:val="04A0" w:firstRow="1" w:lastRow="0" w:firstColumn="1" w:lastColumn="0" w:noHBand="0" w:noVBand="1"/>
      </w:tblPr>
      <w:tblGrid>
        <w:gridCol w:w="2886"/>
        <w:gridCol w:w="3011"/>
        <w:gridCol w:w="3011"/>
      </w:tblGrid>
      <w:tr>
        <w:tc>
          <w:tcPr>
            <w:tcW w:w="8908" w:type="dxa"/>
            <w:gridSpan w:val="3"/>
          </w:tcPr>
          <w:p>
            <w:pPr>
              <w:jc w:val="center"/>
              <w:rPr>
                <w:rFonts w:ascii="Century Gothic" w:hAnsi="Century Gothic"/>
                <w:b/>
              </w:rPr>
            </w:pPr>
            <w:r>
              <w:rPr>
                <w:rFonts w:ascii="Century Gothic" w:hAnsi="Century Gothic"/>
                <w:b/>
              </w:rPr>
              <w:t>2013 – 2015 Catch up Pupils</w:t>
            </w:r>
          </w:p>
        </w:tc>
      </w:tr>
      <w:tr>
        <w:tc>
          <w:tcPr>
            <w:tcW w:w="2886" w:type="dxa"/>
          </w:tcPr>
          <w:p>
            <w:pPr>
              <w:jc w:val="center"/>
              <w:rPr>
                <w:rFonts w:ascii="Century Gothic" w:hAnsi="Century Gothic"/>
              </w:rPr>
            </w:pPr>
            <w:r>
              <w:rPr>
                <w:rFonts w:ascii="Century Gothic" w:hAnsi="Century Gothic"/>
              </w:rPr>
              <w:t>2013: % of Pupils</w:t>
            </w:r>
          </w:p>
        </w:tc>
        <w:tc>
          <w:tcPr>
            <w:tcW w:w="3011" w:type="dxa"/>
          </w:tcPr>
          <w:p>
            <w:pPr>
              <w:jc w:val="center"/>
              <w:rPr>
                <w:rFonts w:ascii="Century Gothic" w:hAnsi="Century Gothic"/>
              </w:rPr>
            </w:pPr>
            <w:r>
              <w:rPr>
                <w:rFonts w:ascii="Century Gothic" w:hAnsi="Century Gothic"/>
              </w:rPr>
              <w:t>2014: % of Pupils</w:t>
            </w:r>
          </w:p>
        </w:tc>
        <w:tc>
          <w:tcPr>
            <w:tcW w:w="3011" w:type="dxa"/>
          </w:tcPr>
          <w:p>
            <w:pPr>
              <w:jc w:val="center"/>
              <w:rPr>
                <w:rFonts w:ascii="Century Gothic" w:hAnsi="Century Gothic"/>
              </w:rPr>
            </w:pPr>
            <w:r>
              <w:rPr>
                <w:rFonts w:ascii="Century Gothic" w:hAnsi="Century Gothic"/>
              </w:rPr>
              <w:t>2015: % of Pupils</w:t>
            </w:r>
          </w:p>
        </w:tc>
      </w:tr>
      <w:tr>
        <w:tc>
          <w:tcPr>
            <w:tcW w:w="2886" w:type="dxa"/>
          </w:tcPr>
          <w:p>
            <w:pPr>
              <w:jc w:val="center"/>
              <w:rPr>
                <w:rFonts w:ascii="Century Gothic" w:hAnsi="Century Gothic"/>
              </w:rPr>
            </w:pPr>
            <w:r>
              <w:rPr>
                <w:rFonts w:ascii="Century Gothic" w:hAnsi="Century Gothic"/>
              </w:rPr>
              <w:t>31%</w:t>
            </w:r>
          </w:p>
        </w:tc>
        <w:tc>
          <w:tcPr>
            <w:tcW w:w="3011" w:type="dxa"/>
          </w:tcPr>
          <w:p>
            <w:pPr>
              <w:jc w:val="center"/>
              <w:rPr>
                <w:rFonts w:ascii="Century Gothic" w:hAnsi="Century Gothic"/>
              </w:rPr>
            </w:pPr>
            <w:r>
              <w:rPr>
                <w:rFonts w:ascii="Century Gothic" w:hAnsi="Century Gothic"/>
              </w:rPr>
              <w:t>29%</w:t>
            </w:r>
          </w:p>
        </w:tc>
        <w:tc>
          <w:tcPr>
            <w:tcW w:w="3011" w:type="dxa"/>
            <w:shd w:val="clear" w:color="auto" w:fill="auto"/>
          </w:tcPr>
          <w:p>
            <w:pPr>
              <w:jc w:val="center"/>
              <w:rPr>
                <w:rFonts w:ascii="Century Gothic" w:hAnsi="Century Gothic"/>
              </w:rPr>
            </w:pPr>
            <w:r>
              <w:rPr>
                <w:rFonts w:ascii="Century Gothic" w:hAnsi="Century Gothic"/>
              </w:rPr>
              <w:t>11%</w:t>
            </w:r>
          </w:p>
        </w:tc>
      </w:tr>
    </w:tbl>
    <w:p>
      <w:pPr>
        <w:spacing w:before="240" w:after="0"/>
        <w:rPr>
          <w:rFonts w:ascii="Century Gothic" w:hAnsi="Century Gothic"/>
        </w:rPr>
      </w:pPr>
      <w:r>
        <w:rPr>
          <w:rFonts w:ascii="Century Gothic" w:hAnsi="Century Gothic"/>
        </w:rPr>
        <w:t xml:space="preserve">With the new assessment system from 2016 we are unable to compare to previous years. In 2016 46% of pupils did not meet the National Standard in Maths, Reading or both. </w:t>
      </w:r>
    </w:p>
    <w:p>
      <w:pPr>
        <w:spacing w:before="240" w:after="0"/>
        <w:rPr>
          <w:rFonts w:ascii="Century Gothic" w:hAnsi="Century Gothic"/>
        </w:rPr>
      </w:pPr>
      <w:r>
        <w:rPr>
          <w:rFonts w:ascii="Century Gothic" w:hAnsi="Century Gothic"/>
          <w:b/>
          <w:u w:val="single"/>
        </w:rPr>
        <w:t>Target Setting for Catch-up Pupils</w:t>
      </w:r>
    </w:p>
    <w:p>
      <w:pPr>
        <w:rPr>
          <w:rFonts w:ascii="Century Gothic" w:hAnsi="Century Gothic"/>
        </w:rPr>
      </w:pPr>
      <w:r>
        <w:rPr>
          <w:rFonts w:ascii="Century Gothic" w:hAnsi="Century Gothic"/>
        </w:rPr>
        <w:t xml:space="preserve">There is an expectation that all pupils will work to at least expected progress per academic year. </w:t>
      </w:r>
    </w:p>
    <w:p>
      <w:pPr>
        <w:spacing w:after="0"/>
        <w:rPr>
          <w:rFonts w:ascii="Century Gothic" w:hAnsi="Century Gothic"/>
          <w:b/>
          <w:u w:val="single"/>
        </w:rPr>
      </w:pPr>
      <w:r>
        <w:rPr>
          <w:rFonts w:ascii="Century Gothic" w:hAnsi="Century Gothic"/>
          <w:b/>
          <w:u w:val="single"/>
        </w:rPr>
        <w:t xml:space="preserve">Catch-up Intervention: </w:t>
      </w:r>
    </w:p>
    <w:p>
      <w:pPr>
        <w:pStyle w:val="ListParagraph"/>
        <w:numPr>
          <w:ilvl w:val="0"/>
          <w:numId w:val="6"/>
        </w:numPr>
        <w:spacing w:after="0"/>
        <w:rPr>
          <w:rFonts w:ascii="Century Gothic" w:hAnsi="Century Gothic"/>
        </w:rPr>
      </w:pPr>
      <w:r>
        <w:rPr>
          <w:rFonts w:ascii="Century Gothic" w:hAnsi="Century Gothic"/>
          <w:b/>
        </w:rPr>
        <w:t>English</w:t>
      </w:r>
      <w:r>
        <w:rPr>
          <w:rFonts w:ascii="Century Gothic" w:hAnsi="Century Gothic"/>
        </w:rPr>
        <w:t xml:space="preserve"> – Y7 literacy catch up intervention</w:t>
      </w:r>
    </w:p>
    <w:p>
      <w:pPr>
        <w:pStyle w:val="ListParagraph"/>
        <w:numPr>
          <w:ilvl w:val="0"/>
          <w:numId w:val="6"/>
        </w:numPr>
        <w:spacing w:after="0"/>
        <w:rPr>
          <w:rFonts w:ascii="Century Gothic" w:hAnsi="Century Gothic"/>
        </w:rPr>
      </w:pPr>
      <w:r>
        <w:rPr>
          <w:rFonts w:ascii="Century Gothic" w:hAnsi="Century Gothic"/>
          <w:b/>
        </w:rPr>
        <w:t>Maths</w:t>
      </w:r>
      <w:r>
        <w:rPr>
          <w:rFonts w:ascii="Century Gothic" w:hAnsi="Century Gothic"/>
        </w:rPr>
        <w:t xml:space="preserve"> – Regular small group intervention sessions with maths tutor, Positively Mad activity.</w:t>
      </w:r>
    </w:p>
    <w:p>
      <w:pPr>
        <w:spacing w:before="120" w:after="0"/>
        <w:rPr>
          <w:rFonts w:ascii="Century Gothic" w:hAnsi="Century Gothic"/>
          <w:b/>
          <w:u w:val="single"/>
        </w:rPr>
      </w:pPr>
      <w:r>
        <w:rPr>
          <w:rFonts w:ascii="Century Gothic" w:hAnsi="Century Gothic"/>
          <w:b/>
          <w:u w:val="single"/>
        </w:rPr>
        <w:t>Progress Check: Sept 16 – July 17</w:t>
      </w:r>
    </w:p>
    <w:p>
      <w:pPr>
        <w:spacing w:before="120" w:after="0"/>
        <w:rPr>
          <w:rFonts w:ascii="Century Gothic" w:hAnsi="Century Gothic"/>
        </w:rPr>
      </w:pPr>
      <w:r>
        <w:rPr>
          <w:rFonts w:ascii="Century Gothic" w:hAnsi="Century Gothic"/>
          <w:b/>
        </w:rPr>
        <w:t>Reading</w:t>
      </w:r>
      <w:r>
        <w:rPr>
          <w:rFonts w:ascii="Century Gothic" w:hAnsi="Century Gothic"/>
        </w:rPr>
        <w:t xml:space="preserve">: </w:t>
      </w:r>
    </w:p>
    <w:p>
      <w:pPr>
        <w:pStyle w:val="ListParagraph"/>
        <w:numPr>
          <w:ilvl w:val="0"/>
          <w:numId w:val="3"/>
        </w:numPr>
        <w:rPr>
          <w:rFonts w:ascii="Century Gothic" w:hAnsi="Century Gothic"/>
        </w:rPr>
      </w:pPr>
      <w:r>
        <w:rPr>
          <w:rFonts w:ascii="Century Gothic" w:hAnsi="Century Gothic"/>
        </w:rPr>
        <w:t>91% of the Catch-up pupils are now working at Age Related Expectations.</w:t>
      </w:r>
    </w:p>
    <w:p>
      <w:pPr>
        <w:pStyle w:val="ListParagraph"/>
        <w:numPr>
          <w:ilvl w:val="0"/>
          <w:numId w:val="3"/>
        </w:numPr>
        <w:rPr>
          <w:rFonts w:ascii="Century Gothic" w:hAnsi="Century Gothic"/>
        </w:rPr>
      </w:pPr>
      <w:r>
        <w:rPr>
          <w:rFonts w:ascii="Century Gothic" w:hAnsi="Century Gothic"/>
        </w:rPr>
        <w:lastRenderedPageBreak/>
        <w:t>81% of the Catch-up pupils have made at least expected progress from KS1 level. 36% have made more than expected progress.</w:t>
      </w:r>
    </w:p>
    <w:p>
      <w:pPr>
        <w:spacing w:before="120" w:after="0"/>
        <w:rPr>
          <w:rFonts w:ascii="Century Gothic" w:hAnsi="Century Gothic"/>
        </w:rPr>
      </w:pPr>
      <w:r>
        <w:rPr>
          <w:rFonts w:ascii="Century Gothic" w:hAnsi="Century Gothic"/>
          <w:b/>
        </w:rPr>
        <w:t>Mathematics</w:t>
      </w:r>
      <w:r>
        <w:rPr>
          <w:rFonts w:ascii="Century Gothic" w:hAnsi="Century Gothic"/>
        </w:rPr>
        <w:t xml:space="preserve">: </w:t>
      </w:r>
    </w:p>
    <w:p>
      <w:pPr>
        <w:pStyle w:val="ListParagraph"/>
        <w:numPr>
          <w:ilvl w:val="0"/>
          <w:numId w:val="4"/>
        </w:numPr>
        <w:rPr>
          <w:rFonts w:ascii="Century Gothic" w:hAnsi="Century Gothic"/>
        </w:rPr>
      </w:pPr>
      <w:r>
        <w:rPr>
          <w:rFonts w:ascii="Century Gothic" w:hAnsi="Century Gothic"/>
        </w:rPr>
        <w:t xml:space="preserve">87% of the Catch-up pupils are now working at Age Related Expectations.  </w:t>
      </w:r>
    </w:p>
    <w:p>
      <w:pPr>
        <w:pStyle w:val="ListParagraph"/>
        <w:numPr>
          <w:ilvl w:val="0"/>
          <w:numId w:val="4"/>
        </w:numPr>
        <w:rPr>
          <w:rFonts w:ascii="Century Gothic" w:hAnsi="Century Gothic"/>
        </w:rPr>
      </w:pPr>
      <w:r>
        <w:rPr>
          <w:rFonts w:ascii="Century Gothic" w:hAnsi="Century Gothic"/>
        </w:rPr>
        <w:t xml:space="preserve">85% of the Catch-up pupils have made at least expected progress from KS1 level. 44% pupils have made more than expected progress from KS1 level. </w:t>
      </w:r>
      <w:bookmarkStart w:id="0" w:name="_GoBack"/>
      <w:bookmarkEnd w:id="0"/>
    </w:p>
    <w:p>
      <w:pPr>
        <w:spacing w:before="120" w:after="0"/>
        <w:rPr>
          <w:rFonts w:ascii="Century Gothic" w:hAnsi="Century Gothic"/>
        </w:rPr>
      </w:pPr>
      <w:r>
        <w:rPr>
          <w:rFonts w:ascii="Century Gothic" w:hAnsi="Century Gothic"/>
        </w:rPr>
        <w:t xml:space="preserve">Pupils including Catch-up pupils receive a termly Progress Check report, reporting current Working at Grade and target grades for the end of the year. There are 6 progress check points during the year, three detailed reports will be sent home during the academic year: </w:t>
      </w:r>
    </w:p>
    <w:p>
      <w:pPr>
        <w:pStyle w:val="ListParagraph"/>
        <w:numPr>
          <w:ilvl w:val="0"/>
          <w:numId w:val="5"/>
        </w:numPr>
        <w:rPr>
          <w:rFonts w:ascii="Century Gothic" w:hAnsi="Century Gothic"/>
        </w:rPr>
      </w:pPr>
      <w:r>
        <w:rPr>
          <w:rFonts w:ascii="Century Gothic" w:hAnsi="Century Gothic"/>
        </w:rPr>
        <w:t>Progress Check 1: October 2016</w:t>
      </w:r>
    </w:p>
    <w:p>
      <w:pPr>
        <w:pStyle w:val="ListParagraph"/>
        <w:numPr>
          <w:ilvl w:val="0"/>
          <w:numId w:val="5"/>
        </w:numPr>
        <w:rPr>
          <w:rFonts w:ascii="Century Gothic" w:hAnsi="Century Gothic"/>
        </w:rPr>
      </w:pPr>
      <w:r>
        <w:rPr>
          <w:rFonts w:ascii="Century Gothic" w:hAnsi="Century Gothic"/>
        </w:rPr>
        <w:t xml:space="preserve">Progress Check 2: December 2016 + Report </w:t>
      </w:r>
    </w:p>
    <w:p>
      <w:pPr>
        <w:pStyle w:val="ListParagraph"/>
        <w:numPr>
          <w:ilvl w:val="0"/>
          <w:numId w:val="5"/>
        </w:numPr>
        <w:rPr>
          <w:rFonts w:ascii="Century Gothic" w:hAnsi="Century Gothic"/>
        </w:rPr>
      </w:pPr>
      <w:r>
        <w:rPr>
          <w:rFonts w:ascii="Century Gothic" w:hAnsi="Century Gothic"/>
        </w:rPr>
        <w:t xml:space="preserve">Progress Check 3: February 2017 </w:t>
      </w:r>
    </w:p>
    <w:p>
      <w:pPr>
        <w:pStyle w:val="ListParagraph"/>
        <w:numPr>
          <w:ilvl w:val="0"/>
          <w:numId w:val="5"/>
        </w:numPr>
        <w:rPr>
          <w:rFonts w:ascii="Century Gothic" w:hAnsi="Century Gothic"/>
        </w:rPr>
      </w:pPr>
      <w:r>
        <w:rPr>
          <w:rFonts w:ascii="Century Gothic" w:hAnsi="Century Gothic"/>
        </w:rPr>
        <w:t xml:space="preserve">Progress Check 4: April 2017 + Report </w:t>
      </w:r>
    </w:p>
    <w:p>
      <w:pPr>
        <w:pStyle w:val="ListParagraph"/>
        <w:numPr>
          <w:ilvl w:val="0"/>
          <w:numId w:val="5"/>
        </w:numPr>
        <w:rPr>
          <w:rFonts w:ascii="Century Gothic" w:hAnsi="Century Gothic"/>
        </w:rPr>
      </w:pPr>
      <w:r>
        <w:rPr>
          <w:rFonts w:ascii="Century Gothic" w:hAnsi="Century Gothic"/>
        </w:rPr>
        <w:t xml:space="preserve">Progress Check 5: June 2017 </w:t>
      </w:r>
    </w:p>
    <w:p>
      <w:pPr>
        <w:pStyle w:val="ListParagraph"/>
        <w:numPr>
          <w:ilvl w:val="0"/>
          <w:numId w:val="5"/>
        </w:numPr>
        <w:spacing w:after="0"/>
        <w:ind w:left="714" w:hanging="357"/>
        <w:rPr>
          <w:rFonts w:ascii="Century Gothic" w:hAnsi="Century Gothic"/>
        </w:rPr>
      </w:pPr>
      <w:r>
        <w:rPr>
          <w:rFonts w:ascii="Century Gothic" w:hAnsi="Century Gothic"/>
        </w:rPr>
        <w:t xml:space="preserve">Progress Check 6: July + End of Year 7 Report </w:t>
      </w:r>
    </w:p>
    <w:p>
      <w:pPr>
        <w:rPr>
          <w:rFonts w:ascii="Century Gothic" w:hAnsi="Century Gothic"/>
        </w:rPr>
      </w:pPr>
    </w:p>
    <w:p>
      <w:pPr>
        <w:spacing w:after="0"/>
        <w:rPr>
          <w:rFonts w:ascii="Century Gothic" w:hAnsi="Century Gothic"/>
        </w:rPr>
      </w:pPr>
      <w:r>
        <w:rPr>
          <w:rFonts w:ascii="Century Gothic" w:hAnsi="Century Gothic"/>
          <w:b/>
        </w:rPr>
        <w:t>Funding Academic year 16-17 (£6840)</w:t>
      </w:r>
    </w:p>
    <w:p>
      <w:pPr>
        <w:spacing w:after="0"/>
        <w:jc w:val="center"/>
        <w:rPr>
          <w:rFonts w:ascii="Century Gothic" w:hAnsi="Century Gothic"/>
        </w:rPr>
      </w:pPr>
    </w:p>
    <w:tbl>
      <w:tblPr>
        <w:tblStyle w:val="TableGrid"/>
        <w:tblW w:w="9747" w:type="dxa"/>
        <w:tblLook w:val="04A0" w:firstRow="1" w:lastRow="0" w:firstColumn="1" w:lastColumn="0" w:noHBand="0" w:noVBand="1"/>
      </w:tblPr>
      <w:tblGrid>
        <w:gridCol w:w="817"/>
        <w:gridCol w:w="7088"/>
        <w:gridCol w:w="1842"/>
      </w:tblGrid>
      <w:tr>
        <w:trPr>
          <w:trHeight w:val="269"/>
        </w:trPr>
        <w:tc>
          <w:tcPr>
            <w:tcW w:w="817" w:type="dxa"/>
          </w:tcPr>
          <w:p>
            <w:pPr>
              <w:jc w:val="center"/>
              <w:rPr>
                <w:rFonts w:ascii="Century Gothic" w:hAnsi="Century Gothic"/>
                <w:b/>
              </w:rPr>
            </w:pPr>
          </w:p>
        </w:tc>
        <w:tc>
          <w:tcPr>
            <w:tcW w:w="7088" w:type="dxa"/>
          </w:tcPr>
          <w:p>
            <w:pPr>
              <w:jc w:val="center"/>
              <w:rPr>
                <w:rFonts w:ascii="Century Gothic" w:hAnsi="Century Gothic"/>
                <w:b/>
              </w:rPr>
            </w:pPr>
            <w:r>
              <w:rPr>
                <w:rFonts w:ascii="Century Gothic" w:hAnsi="Century Gothic"/>
                <w:b/>
              </w:rPr>
              <w:t>Activity</w:t>
            </w:r>
          </w:p>
        </w:tc>
        <w:tc>
          <w:tcPr>
            <w:tcW w:w="1842" w:type="dxa"/>
          </w:tcPr>
          <w:p>
            <w:pPr>
              <w:jc w:val="center"/>
              <w:rPr>
                <w:rFonts w:ascii="Century Gothic" w:hAnsi="Century Gothic"/>
                <w:b/>
              </w:rPr>
            </w:pPr>
            <w:r>
              <w:rPr>
                <w:rFonts w:ascii="Century Gothic" w:hAnsi="Century Gothic"/>
                <w:b/>
              </w:rPr>
              <w:t>Cost</w:t>
            </w:r>
          </w:p>
        </w:tc>
      </w:tr>
      <w:tr>
        <w:tc>
          <w:tcPr>
            <w:tcW w:w="817" w:type="dxa"/>
          </w:tcPr>
          <w:p>
            <w:pPr>
              <w:rPr>
                <w:rFonts w:ascii="Century Gothic" w:hAnsi="Century Gothic"/>
                <w:b/>
              </w:rPr>
            </w:pPr>
            <w:r>
              <w:rPr>
                <w:rFonts w:ascii="Century Gothic" w:hAnsi="Century Gothic"/>
                <w:b/>
              </w:rPr>
              <w:t>1</w:t>
            </w:r>
          </w:p>
        </w:tc>
        <w:tc>
          <w:tcPr>
            <w:tcW w:w="7088" w:type="dxa"/>
          </w:tcPr>
          <w:p>
            <w:pPr>
              <w:rPr>
                <w:rFonts w:ascii="Century Gothic" w:hAnsi="Century Gothic"/>
                <w:b/>
              </w:rPr>
            </w:pPr>
            <w:r>
              <w:rPr>
                <w:rFonts w:ascii="Century Gothic" w:hAnsi="Century Gothic"/>
                <w:b/>
              </w:rPr>
              <w:t>Maths IXL</w:t>
            </w:r>
          </w:p>
          <w:p>
            <w:pPr>
              <w:rPr>
                <w:rFonts w:ascii="Century Gothic" w:hAnsi="Century Gothic"/>
              </w:rPr>
            </w:pPr>
            <w:r>
              <w:rPr>
                <w:rFonts w:ascii="Century Gothic" w:hAnsi="Century Gothic"/>
              </w:rPr>
              <w:t xml:space="preserve">Support package </w:t>
            </w:r>
          </w:p>
        </w:tc>
        <w:tc>
          <w:tcPr>
            <w:tcW w:w="1842" w:type="dxa"/>
          </w:tcPr>
          <w:p>
            <w:pPr>
              <w:jc w:val="center"/>
              <w:rPr>
                <w:rFonts w:ascii="Century Gothic" w:hAnsi="Century Gothic"/>
                <w:b/>
              </w:rPr>
            </w:pPr>
            <w:r>
              <w:rPr>
                <w:rFonts w:ascii="Century Gothic" w:hAnsi="Century Gothic"/>
                <w:b/>
              </w:rPr>
              <w:t>£1800</w:t>
            </w:r>
          </w:p>
        </w:tc>
      </w:tr>
      <w:tr>
        <w:tc>
          <w:tcPr>
            <w:tcW w:w="817" w:type="dxa"/>
          </w:tcPr>
          <w:p>
            <w:pPr>
              <w:rPr>
                <w:rFonts w:ascii="Century Gothic" w:hAnsi="Century Gothic"/>
                <w:b/>
              </w:rPr>
            </w:pPr>
            <w:r>
              <w:rPr>
                <w:rFonts w:ascii="Century Gothic" w:hAnsi="Century Gothic"/>
                <w:b/>
              </w:rPr>
              <w:t>2</w:t>
            </w:r>
          </w:p>
        </w:tc>
        <w:tc>
          <w:tcPr>
            <w:tcW w:w="7088" w:type="dxa"/>
          </w:tcPr>
          <w:p>
            <w:pPr>
              <w:rPr>
                <w:rFonts w:ascii="Century Gothic" w:hAnsi="Century Gothic"/>
                <w:b/>
              </w:rPr>
            </w:pPr>
            <w:r>
              <w:rPr>
                <w:rFonts w:ascii="Century Gothic" w:hAnsi="Century Gothic"/>
                <w:b/>
              </w:rPr>
              <w:t>Catch up literacy</w:t>
            </w:r>
          </w:p>
          <w:p>
            <w:pPr>
              <w:rPr>
                <w:rFonts w:ascii="Century Gothic" w:hAnsi="Century Gothic"/>
              </w:rPr>
            </w:pPr>
            <w:r>
              <w:rPr>
                <w:rFonts w:ascii="Century Gothic" w:hAnsi="Century Gothic"/>
              </w:rPr>
              <w:t>Literacy programme</w:t>
            </w:r>
          </w:p>
        </w:tc>
        <w:tc>
          <w:tcPr>
            <w:tcW w:w="1842" w:type="dxa"/>
          </w:tcPr>
          <w:p>
            <w:pPr>
              <w:jc w:val="center"/>
              <w:rPr>
                <w:rFonts w:ascii="Century Gothic" w:hAnsi="Century Gothic"/>
                <w:b/>
              </w:rPr>
            </w:pPr>
            <w:r>
              <w:rPr>
                <w:rFonts w:ascii="Century Gothic" w:hAnsi="Century Gothic"/>
                <w:b/>
              </w:rPr>
              <w:t>£1,800</w:t>
            </w:r>
          </w:p>
          <w:p>
            <w:pPr>
              <w:jc w:val="center"/>
              <w:rPr>
                <w:rFonts w:ascii="Century Gothic" w:hAnsi="Century Gothic"/>
                <w:b/>
              </w:rPr>
            </w:pPr>
            <w:r>
              <w:rPr>
                <w:rFonts w:ascii="Century Gothic" w:hAnsi="Century Gothic"/>
                <w:b/>
              </w:rPr>
              <w:t xml:space="preserve">Contribution </w:t>
            </w:r>
          </w:p>
        </w:tc>
      </w:tr>
      <w:tr>
        <w:tc>
          <w:tcPr>
            <w:tcW w:w="817" w:type="dxa"/>
          </w:tcPr>
          <w:p>
            <w:pPr>
              <w:rPr>
                <w:rFonts w:ascii="Century Gothic" w:hAnsi="Century Gothic"/>
                <w:b/>
              </w:rPr>
            </w:pPr>
            <w:r>
              <w:rPr>
                <w:rFonts w:ascii="Century Gothic" w:hAnsi="Century Gothic"/>
                <w:b/>
              </w:rPr>
              <w:t>3</w:t>
            </w:r>
          </w:p>
        </w:tc>
        <w:tc>
          <w:tcPr>
            <w:tcW w:w="7088" w:type="dxa"/>
          </w:tcPr>
          <w:p>
            <w:pPr>
              <w:rPr>
                <w:rFonts w:ascii="Century Gothic" w:hAnsi="Century Gothic"/>
                <w:b/>
              </w:rPr>
            </w:pPr>
            <w:r>
              <w:rPr>
                <w:rFonts w:ascii="Century Gothic" w:hAnsi="Century Gothic"/>
                <w:b/>
              </w:rPr>
              <w:t>Books (KS3 SPG dictionaries and reading books)</w:t>
            </w:r>
          </w:p>
          <w:p>
            <w:pPr>
              <w:rPr>
                <w:rFonts w:ascii="Century Gothic" w:hAnsi="Century Gothic"/>
              </w:rPr>
            </w:pPr>
            <w:r>
              <w:rPr>
                <w:rFonts w:ascii="Century Gothic" w:hAnsi="Century Gothic"/>
              </w:rPr>
              <w:t>Contribution</w:t>
            </w:r>
          </w:p>
        </w:tc>
        <w:tc>
          <w:tcPr>
            <w:tcW w:w="1842" w:type="dxa"/>
          </w:tcPr>
          <w:p>
            <w:pPr>
              <w:jc w:val="center"/>
              <w:rPr>
                <w:rFonts w:ascii="Century Gothic" w:hAnsi="Century Gothic"/>
                <w:b/>
              </w:rPr>
            </w:pPr>
            <w:r>
              <w:rPr>
                <w:rFonts w:ascii="Century Gothic" w:hAnsi="Century Gothic"/>
                <w:b/>
              </w:rPr>
              <w:t>£1,643</w:t>
            </w:r>
          </w:p>
        </w:tc>
      </w:tr>
      <w:tr>
        <w:tc>
          <w:tcPr>
            <w:tcW w:w="817" w:type="dxa"/>
          </w:tcPr>
          <w:p>
            <w:pPr>
              <w:rPr>
                <w:rFonts w:ascii="Century Gothic" w:hAnsi="Century Gothic"/>
                <w:b/>
              </w:rPr>
            </w:pPr>
            <w:r>
              <w:rPr>
                <w:rFonts w:ascii="Century Gothic" w:hAnsi="Century Gothic"/>
                <w:b/>
              </w:rPr>
              <w:t>4</w:t>
            </w:r>
          </w:p>
        </w:tc>
        <w:tc>
          <w:tcPr>
            <w:tcW w:w="7088" w:type="dxa"/>
          </w:tcPr>
          <w:p>
            <w:pPr>
              <w:rPr>
                <w:rFonts w:ascii="Century Gothic" w:hAnsi="Century Gothic"/>
                <w:b/>
              </w:rPr>
            </w:pPr>
            <w:r>
              <w:rPr>
                <w:rFonts w:ascii="Century Gothic" w:hAnsi="Century Gothic"/>
                <w:b/>
              </w:rPr>
              <w:t xml:space="preserve">Maths </w:t>
            </w:r>
          </w:p>
          <w:p>
            <w:pPr>
              <w:rPr>
                <w:rFonts w:ascii="Century Gothic" w:hAnsi="Century Gothic"/>
              </w:rPr>
            </w:pPr>
            <w:r>
              <w:rPr>
                <w:rFonts w:ascii="Century Gothic" w:hAnsi="Century Gothic"/>
              </w:rPr>
              <w:t xml:space="preserve">Positively Mad  </w:t>
            </w:r>
          </w:p>
        </w:tc>
        <w:tc>
          <w:tcPr>
            <w:tcW w:w="1842" w:type="dxa"/>
          </w:tcPr>
          <w:p>
            <w:pPr>
              <w:jc w:val="center"/>
              <w:rPr>
                <w:rFonts w:ascii="Century Gothic" w:hAnsi="Century Gothic"/>
                <w:b/>
              </w:rPr>
            </w:pPr>
            <w:r>
              <w:rPr>
                <w:rFonts w:ascii="Century Gothic" w:hAnsi="Century Gothic"/>
                <w:b/>
              </w:rPr>
              <w:t>£1,335</w:t>
            </w:r>
          </w:p>
        </w:tc>
      </w:tr>
      <w:tr>
        <w:tc>
          <w:tcPr>
            <w:tcW w:w="817" w:type="dxa"/>
          </w:tcPr>
          <w:p>
            <w:pPr>
              <w:rPr>
                <w:rFonts w:ascii="Century Gothic" w:hAnsi="Century Gothic"/>
                <w:b/>
              </w:rPr>
            </w:pPr>
            <w:r>
              <w:rPr>
                <w:rFonts w:ascii="Century Gothic" w:hAnsi="Century Gothic"/>
                <w:b/>
              </w:rPr>
              <w:t>5</w:t>
            </w:r>
          </w:p>
        </w:tc>
        <w:tc>
          <w:tcPr>
            <w:tcW w:w="7088" w:type="dxa"/>
          </w:tcPr>
          <w:p>
            <w:pPr>
              <w:rPr>
                <w:rFonts w:ascii="Century Gothic" w:hAnsi="Century Gothic"/>
                <w:b/>
              </w:rPr>
            </w:pPr>
            <w:r>
              <w:rPr>
                <w:rFonts w:ascii="Century Gothic" w:hAnsi="Century Gothic"/>
                <w:b/>
              </w:rPr>
              <w:t>Labelling Machines</w:t>
            </w:r>
          </w:p>
          <w:p>
            <w:pPr>
              <w:rPr>
                <w:rFonts w:ascii="Century Gothic" w:hAnsi="Century Gothic"/>
              </w:rPr>
            </w:pPr>
            <w:r>
              <w:rPr>
                <w:rFonts w:ascii="Century Gothic" w:hAnsi="Century Gothic"/>
              </w:rPr>
              <w:t xml:space="preserve">Effective target setting </w:t>
            </w:r>
          </w:p>
        </w:tc>
        <w:tc>
          <w:tcPr>
            <w:tcW w:w="1842" w:type="dxa"/>
          </w:tcPr>
          <w:p>
            <w:pPr>
              <w:jc w:val="center"/>
              <w:rPr>
                <w:rFonts w:ascii="Century Gothic" w:hAnsi="Century Gothic"/>
                <w:b/>
              </w:rPr>
            </w:pPr>
            <w:r>
              <w:rPr>
                <w:rFonts w:ascii="Century Gothic" w:hAnsi="Century Gothic"/>
                <w:b/>
              </w:rPr>
              <w:t>£244</w:t>
            </w:r>
          </w:p>
        </w:tc>
      </w:tr>
      <w:tr>
        <w:tc>
          <w:tcPr>
            <w:tcW w:w="817" w:type="dxa"/>
            <w:tcBorders>
              <w:bottom w:val="single" w:sz="4" w:space="0" w:color="auto"/>
            </w:tcBorders>
          </w:tcPr>
          <w:p>
            <w:pPr>
              <w:rPr>
                <w:rFonts w:ascii="Century Gothic" w:hAnsi="Century Gothic"/>
              </w:rPr>
            </w:pPr>
          </w:p>
        </w:tc>
        <w:tc>
          <w:tcPr>
            <w:tcW w:w="7088" w:type="dxa"/>
          </w:tcPr>
          <w:p>
            <w:pPr>
              <w:jc w:val="right"/>
              <w:rPr>
                <w:rFonts w:ascii="Century Gothic" w:hAnsi="Century Gothic"/>
                <w:b/>
              </w:rPr>
            </w:pPr>
            <w:r>
              <w:rPr>
                <w:rFonts w:ascii="Century Gothic" w:hAnsi="Century Gothic"/>
                <w:b/>
              </w:rPr>
              <w:t>TOTAL</w:t>
            </w:r>
          </w:p>
        </w:tc>
        <w:tc>
          <w:tcPr>
            <w:tcW w:w="1842" w:type="dxa"/>
          </w:tcPr>
          <w:p>
            <w:pPr>
              <w:jc w:val="center"/>
              <w:rPr>
                <w:rFonts w:ascii="Century Gothic" w:hAnsi="Century Gothic"/>
                <w:b/>
              </w:rPr>
            </w:pPr>
            <w:r>
              <w:rPr>
                <w:rFonts w:ascii="Century Gothic" w:hAnsi="Century Gothic"/>
                <w:b/>
              </w:rPr>
              <w:t>£6822</w:t>
            </w:r>
          </w:p>
        </w:tc>
      </w:tr>
    </w:tbl>
    <w:p>
      <w:pPr>
        <w:rPr>
          <w:rFonts w:ascii="Century Gothic" w:hAnsi="Century Gothic"/>
        </w:rPr>
      </w:pPr>
    </w:p>
    <w:p>
      <w:pPr>
        <w:spacing w:after="0"/>
        <w:rPr>
          <w:rFonts w:ascii="Century Gothic" w:hAnsi="Century Gothic"/>
          <w:b/>
        </w:rPr>
      </w:pPr>
      <w:r>
        <w:rPr>
          <w:rFonts w:ascii="Century Gothic" w:hAnsi="Century Gothic"/>
          <w:b/>
        </w:rPr>
        <w:t>Funding Academic year 17-18 (£7000)</w:t>
      </w:r>
    </w:p>
    <w:p>
      <w:pPr>
        <w:spacing w:after="0"/>
        <w:rPr>
          <w:rFonts w:ascii="Century Gothic" w:hAnsi="Century Gothic"/>
          <w:b/>
        </w:rPr>
      </w:pPr>
    </w:p>
    <w:p>
      <w:pPr>
        <w:spacing w:after="0"/>
        <w:rPr>
          <w:rFonts w:ascii="Century Gothic" w:hAnsi="Century Gothic"/>
          <w:b/>
        </w:rPr>
      </w:pPr>
      <w:r>
        <w:rPr>
          <w:rFonts w:ascii="Century Gothic" w:hAnsi="Century Gothic"/>
          <w:b/>
        </w:rPr>
        <w:t>Proposed spending includes:</w:t>
      </w:r>
    </w:p>
    <w:p>
      <w:pPr>
        <w:pStyle w:val="ListParagraph"/>
        <w:numPr>
          <w:ilvl w:val="0"/>
          <w:numId w:val="9"/>
        </w:numPr>
        <w:spacing w:after="0"/>
        <w:rPr>
          <w:rFonts w:ascii="Century Gothic" w:hAnsi="Century Gothic"/>
        </w:rPr>
      </w:pPr>
      <w:r>
        <w:rPr>
          <w:rFonts w:ascii="Century Gothic" w:hAnsi="Century Gothic"/>
        </w:rPr>
        <w:t xml:space="preserve">£3000 to Accelerated Reader </w:t>
      </w:r>
    </w:p>
    <w:p>
      <w:pPr>
        <w:pStyle w:val="ListParagraph"/>
        <w:numPr>
          <w:ilvl w:val="0"/>
          <w:numId w:val="9"/>
        </w:numPr>
        <w:spacing w:after="0"/>
        <w:rPr>
          <w:rFonts w:ascii="Century Gothic" w:hAnsi="Century Gothic"/>
        </w:rPr>
      </w:pPr>
      <w:r>
        <w:rPr>
          <w:rFonts w:ascii="Century Gothic" w:hAnsi="Century Gothic"/>
        </w:rPr>
        <w:t>£1800 catch up literacy</w:t>
      </w:r>
    </w:p>
    <w:p>
      <w:pPr>
        <w:pStyle w:val="ListParagraph"/>
        <w:numPr>
          <w:ilvl w:val="0"/>
          <w:numId w:val="9"/>
        </w:numPr>
        <w:spacing w:after="0"/>
        <w:rPr>
          <w:rFonts w:ascii="Century Gothic" w:hAnsi="Century Gothic"/>
        </w:rPr>
      </w:pPr>
      <w:r>
        <w:rPr>
          <w:rFonts w:ascii="Century Gothic" w:hAnsi="Century Gothic"/>
        </w:rPr>
        <w:t xml:space="preserve">£1800 catch up numeracy </w:t>
      </w:r>
    </w:p>
    <w:p>
      <w:pPr>
        <w:spacing w:after="0"/>
        <w:rPr>
          <w:rFonts w:ascii="Century Gothic" w:hAnsi="Century Gothic"/>
        </w:rPr>
      </w:pPr>
    </w:p>
    <w:p>
      <w:pPr>
        <w:rPr>
          <w:rFonts w:ascii="Century Gothic" w:hAnsi="Century Gothic"/>
        </w:rPr>
      </w:pPr>
    </w:p>
    <w:p>
      <w:pPr>
        <w:rPr>
          <w:rFonts w:ascii="Century Gothic" w:hAnsi="Century Gothic"/>
        </w:rPr>
      </w:pPr>
    </w:p>
    <w:sectPr>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Century Gothic" w:hAnsi="Century Gothic"/>
      </w:rPr>
    </w:pPr>
    <w:r>
      <w:rPr>
        <w:rFonts w:ascii="Century Gothic" w:hAnsi="Century Gothic"/>
      </w:rPr>
      <w:t>May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0C61"/>
    <w:multiLevelType w:val="hybridMultilevel"/>
    <w:tmpl w:val="3C50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072F0"/>
    <w:multiLevelType w:val="hybridMultilevel"/>
    <w:tmpl w:val="8048B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E2AC8"/>
    <w:multiLevelType w:val="hybridMultilevel"/>
    <w:tmpl w:val="0C54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5163E"/>
    <w:multiLevelType w:val="hybridMultilevel"/>
    <w:tmpl w:val="F974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0496A"/>
    <w:multiLevelType w:val="hybridMultilevel"/>
    <w:tmpl w:val="7336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8647A"/>
    <w:multiLevelType w:val="hybridMultilevel"/>
    <w:tmpl w:val="C68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B7BB8"/>
    <w:multiLevelType w:val="hybridMultilevel"/>
    <w:tmpl w:val="1584C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E65B77"/>
    <w:multiLevelType w:val="hybridMultilevel"/>
    <w:tmpl w:val="7A44E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73DF4"/>
    <w:multiLevelType w:val="hybridMultilevel"/>
    <w:tmpl w:val="0304F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6273F-2DCF-46B6-958B-25C097C3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B208A4E8</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dc:creator>
  <cp:lastModifiedBy>v.marsh</cp:lastModifiedBy>
  <cp:revision>2</cp:revision>
  <cp:lastPrinted>2015-06-02T12:13:00Z</cp:lastPrinted>
  <dcterms:created xsi:type="dcterms:W3CDTF">2017-09-13T10:46:00Z</dcterms:created>
  <dcterms:modified xsi:type="dcterms:W3CDTF">2017-09-13T10:46:00Z</dcterms:modified>
</cp:coreProperties>
</file>